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723D5">
      <w:pPr>
        <w:pStyle w:val="2"/>
        <w:spacing w:before="267" w:line="540" w:lineRule="exact"/>
        <w:jc w:val="center"/>
        <w:rPr>
          <w:rFonts w:ascii="方正小标宋简体" w:hAnsi="方正小标宋简体" w:eastAsia="方正小标宋简体"/>
          <w:kern w:val="0"/>
          <w:sz w:val="44"/>
          <w:szCs w:val="44"/>
        </w:rPr>
      </w:pPr>
      <w:r>
        <w:rPr>
          <w:rFonts w:hint="eastAsia" w:ascii="方正小标宋简体" w:hAnsi="方正小标宋简体" w:eastAsia="方正小标宋简体"/>
          <w:kern w:val="0"/>
          <w:sz w:val="44"/>
          <w:szCs w:val="44"/>
        </w:rPr>
        <w:t>中山大学法学院“林祥平学生活动发展</w:t>
      </w:r>
    </w:p>
    <w:p w14:paraId="444509E7">
      <w:pPr>
        <w:pStyle w:val="2"/>
        <w:spacing w:before="267" w:after="312" w:line="540" w:lineRule="exact"/>
        <w:jc w:val="center"/>
        <w:rPr>
          <w:rFonts w:eastAsia="方正小标宋简体" w:asciiTheme="minorEastAsia" w:hAnsiTheme="minorEastAsia" w:cstheme="minorEastAsia"/>
          <w:sz w:val="28"/>
          <w:szCs w:val="28"/>
        </w:rPr>
      </w:pPr>
      <w:r>
        <w:rPr>
          <w:rFonts w:hint="eastAsia" w:ascii="方正小标宋简体" w:hAnsi="方正小标宋简体" w:eastAsia="方正小标宋简体"/>
          <w:kern w:val="0"/>
          <w:sz w:val="44"/>
          <w:szCs w:val="44"/>
        </w:rPr>
        <w:t>基金”评选细则</w:t>
      </w:r>
    </w:p>
    <w:p w14:paraId="09C7D82E">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rPr>
        <w:t>为培养高素质法治人才，推动中山大学法学院学生工作发</w:t>
      </w:r>
      <w:r>
        <w:rPr>
          <w:rFonts w:hint="eastAsia" w:ascii="仿宋_GB2312" w:hAnsi="仿宋_GB2312" w:eastAsia="仿宋_GB2312"/>
          <w:kern w:val="0"/>
          <w:sz w:val="32"/>
          <w:szCs w:val="32"/>
          <w:highlight w:val="none"/>
        </w:rPr>
        <w:t>展，法学院校友林卫辉先生特捐资设立“中山大学法学院林祥平学生活动发展基金”，捐赠款用于支持中山大学法学院学生活动开展，促进学生队伍建设，提高中山大学法学院学生综合素质，其评选细则如下：</w:t>
      </w:r>
    </w:p>
    <w:p w14:paraId="1A533FB2">
      <w:pPr>
        <w:widowControl/>
        <w:tabs>
          <w:tab w:val="left" w:pos="752"/>
        </w:tabs>
        <w:spacing w:line="540" w:lineRule="exact"/>
        <w:ind w:firstLine="643" w:firstLineChars="200"/>
        <w:rPr>
          <w:rFonts w:ascii="仿宋_GB2312" w:hAnsi="仿宋_GB2312" w:eastAsia="仿宋_GB2312"/>
          <w:b/>
          <w:bCs/>
          <w:kern w:val="0"/>
          <w:sz w:val="32"/>
          <w:szCs w:val="32"/>
          <w:highlight w:val="none"/>
        </w:rPr>
      </w:pPr>
      <w:r>
        <w:rPr>
          <w:rFonts w:hint="eastAsia" w:ascii="仿宋_GB2312" w:hAnsi="仿宋_GB2312" w:eastAsia="仿宋_GB2312"/>
          <w:b/>
          <w:bCs/>
          <w:kern w:val="0"/>
          <w:sz w:val="32"/>
          <w:szCs w:val="32"/>
          <w:highlight w:val="none"/>
        </w:rPr>
        <w:t>一、获评学生条件</w:t>
      </w:r>
    </w:p>
    <w:p w14:paraId="637B840B">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（一）基本条件</w:t>
      </w:r>
    </w:p>
    <w:p w14:paraId="4DEFA42E">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1.遵守国家宪法、法律和学校规章制度；</w:t>
      </w:r>
    </w:p>
    <w:p w14:paraId="19227495">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2.有良好的学风、热爱集体、尊师爱校、团结同学、积极参加各项有益的活动；</w:t>
      </w:r>
    </w:p>
    <w:p w14:paraId="236A1121">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3.努力学习，完成教学计划或培训计划所规定的内容，成绩良好。</w:t>
      </w:r>
    </w:p>
    <w:p w14:paraId="6D48F5FE">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（二）有以下情况之一者不能参加当年的评定：</w:t>
      </w:r>
    </w:p>
    <w:p w14:paraId="6E848011">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1.该学年违反校纪校规受到处分者；</w:t>
      </w:r>
    </w:p>
    <w:p w14:paraId="65B33469">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2.上一学年违规使用活动经费且影响恶劣者。</w:t>
      </w:r>
    </w:p>
    <w:p w14:paraId="55FF0632">
      <w:pPr>
        <w:widowControl/>
        <w:tabs>
          <w:tab w:val="left" w:pos="752"/>
        </w:tabs>
        <w:spacing w:line="540" w:lineRule="exact"/>
        <w:ind w:firstLine="643" w:firstLineChars="200"/>
        <w:rPr>
          <w:rFonts w:ascii="仿宋_GB2312" w:hAnsi="仿宋_GB2312" w:eastAsia="仿宋_GB2312"/>
          <w:b/>
          <w:bCs/>
          <w:kern w:val="0"/>
          <w:sz w:val="32"/>
          <w:szCs w:val="32"/>
          <w:highlight w:val="none"/>
        </w:rPr>
      </w:pPr>
      <w:r>
        <w:rPr>
          <w:rFonts w:hint="eastAsia" w:ascii="仿宋_GB2312" w:hAnsi="仿宋_GB2312" w:eastAsia="仿宋_GB2312"/>
          <w:b/>
          <w:bCs/>
          <w:kern w:val="0"/>
          <w:sz w:val="32"/>
          <w:szCs w:val="32"/>
          <w:highlight w:val="none"/>
        </w:rPr>
        <w:t>二、奖励标准及金额</w:t>
      </w:r>
    </w:p>
    <w:p w14:paraId="3193B0A5">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每年奖励学生人数不限，奖励金额由中山大学法学院学工部根据学生活动和赛事规模确定。该奖励由学工部负责组织评选。</w:t>
      </w:r>
    </w:p>
    <w:p w14:paraId="1E880768">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（一）学生个人报名参加体育活动或体育赛事、文艺活动或文艺竞赛、学术活动或竞赛等，按以下标准发放奖励：</w:t>
      </w:r>
    </w:p>
    <w:p w14:paraId="1F03A2A0">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1</w:t>
      </w:r>
      <w:r>
        <w:rPr>
          <w:rFonts w:ascii="仿宋_GB2312" w:hAnsi="仿宋_GB2312" w:eastAsia="仿宋_GB2312"/>
          <w:kern w:val="0"/>
          <w:sz w:val="32"/>
          <w:szCs w:val="32"/>
          <w:highlight w:val="none"/>
        </w:rPr>
        <w:t>.</w:t>
      </w:r>
      <w:r>
        <w:rPr>
          <w:rFonts w:hint="eastAsia" w:ascii="仿宋_GB2312" w:hAnsi="仿宋_GB2312" w:eastAsia="仿宋_GB2312"/>
          <w:kern w:val="0"/>
          <w:sz w:val="32"/>
          <w:szCs w:val="32"/>
          <w:highlight w:val="none"/>
        </w:rPr>
        <w:t>获得国家（含国家部委主办的活动）级冠军者，奖励</w:t>
      </w:r>
      <w:r>
        <w:rPr>
          <w:rFonts w:ascii="仿宋_GB2312" w:hAnsi="仿宋_GB2312" w:eastAsia="仿宋_GB2312"/>
          <w:kern w:val="0"/>
          <w:sz w:val="32"/>
          <w:szCs w:val="32"/>
          <w:highlight w:val="none"/>
        </w:rPr>
        <w:t>5</w:t>
      </w:r>
      <w:r>
        <w:rPr>
          <w:rFonts w:hint="eastAsia" w:ascii="仿宋_GB2312" w:hAnsi="仿宋_GB2312" w:eastAsia="仿宋_GB2312"/>
          <w:kern w:val="0"/>
          <w:sz w:val="32"/>
          <w:szCs w:val="32"/>
          <w:highlight w:val="none"/>
        </w:rPr>
        <w:t>000元/人；获得国家（含国家部委主办的活动）级亚军或季军，奖励</w:t>
      </w:r>
      <w:r>
        <w:rPr>
          <w:rFonts w:ascii="仿宋_GB2312" w:hAnsi="仿宋_GB2312" w:eastAsia="仿宋_GB2312"/>
          <w:kern w:val="0"/>
          <w:sz w:val="32"/>
          <w:szCs w:val="32"/>
          <w:highlight w:val="none"/>
        </w:rPr>
        <w:t>4</w:t>
      </w:r>
      <w:r>
        <w:rPr>
          <w:rFonts w:hint="eastAsia" w:ascii="仿宋_GB2312" w:hAnsi="仿宋_GB2312" w:eastAsia="仿宋_GB2312"/>
          <w:kern w:val="0"/>
          <w:sz w:val="32"/>
          <w:szCs w:val="32"/>
          <w:highlight w:val="none"/>
        </w:rPr>
        <w:t>000元/人；</w:t>
      </w:r>
    </w:p>
    <w:p w14:paraId="614FA6D5">
      <w:pPr>
        <w:widowControl/>
        <w:tabs>
          <w:tab w:val="left" w:pos="752"/>
        </w:tabs>
        <w:spacing w:line="540" w:lineRule="exact"/>
        <w:ind w:firstLine="640" w:firstLineChars="200"/>
        <w:rPr>
          <w:rFonts w:hint="eastAsia"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2</w:t>
      </w:r>
      <w:r>
        <w:rPr>
          <w:rFonts w:ascii="仿宋_GB2312" w:hAnsi="仿宋_GB2312" w:eastAsia="仿宋_GB2312"/>
          <w:kern w:val="0"/>
          <w:sz w:val="32"/>
          <w:szCs w:val="32"/>
          <w:highlight w:val="none"/>
        </w:rPr>
        <w:t>.</w:t>
      </w:r>
      <w:r>
        <w:rPr>
          <w:rFonts w:hint="eastAsia" w:ascii="仿宋_GB2312" w:hAnsi="仿宋_GB2312" w:eastAsia="仿宋_GB2312"/>
          <w:kern w:val="0"/>
          <w:sz w:val="32"/>
          <w:szCs w:val="32"/>
          <w:highlight w:val="none"/>
        </w:rPr>
        <w:t>获得省</w:t>
      </w:r>
      <w:r>
        <w:rPr>
          <w:rFonts w:hint="eastAsia" w:ascii="仿宋_GB2312" w:hAnsi="仿宋_GB2312" w:eastAsia="仿宋_GB2312"/>
          <w:kern w:val="0"/>
          <w:sz w:val="32"/>
          <w:szCs w:val="32"/>
          <w:highlight w:val="none"/>
          <w:lang w:val="en-US" w:eastAsia="zh-CN"/>
        </w:rPr>
        <w:t>级冠军者，奖励3000元/人；获得省级亚军或季军，或</w:t>
      </w:r>
      <w:r>
        <w:rPr>
          <w:rFonts w:hint="eastAsia" w:ascii="仿宋_GB2312" w:hAnsi="仿宋_GB2312" w:eastAsia="仿宋_GB2312"/>
          <w:kern w:val="0"/>
          <w:sz w:val="32"/>
          <w:szCs w:val="32"/>
          <w:highlight w:val="none"/>
        </w:rPr>
        <w:t>市级</w:t>
      </w:r>
      <w:r>
        <w:rPr>
          <w:rFonts w:hint="eastAsia" w:ascii="仿宋_GB2312" w:hAnsi="仿宋_GB2312" w:eastAsia="仿宋_GB2312"/>
          <w:kern w:val="0"/>
          <w:sz w:val="32"/>
          <w:szCs w:val="32"/>
          <w:highlight w:val="none"/>
          <w:lang w:val="en-US" w:eastAsia="zh-CN"/>
        </w:rPr>
        <w:t>冠军者，奖励2000元/人；获得市级亚军或季军，</w:t>
      </w:r>
      <w:r>
        <w:rPr>
          <w:rFonts w:hint="eastAsia" w:ascii="仿宋_GB2312" w:hAnsi="仿宋_GB2312" w:eastAsia="仿宋_GB2312"/>
          <w:kern w:val="0"/>
          <w:sz w:val="32"/>
          <w:szCs w:val="32"/>
          <w:highlight w:val="none"/>
        </w:rPr>
        <w:t>或校级竞赛冠军（如分校区竞赛，为总决赛冠军）者，奖励</w:t>
      </w:r>
      <w:r>
        <w:rPr>
          <w:rFonts w:hint="eastAsia" w:ascii="仿宋_GB2312" w:hAnsi="仿宋_GB2312" w:eastAsia="仿宋_GB2312"/>
          <w:kern w:val="0"/>
          <w:sz w:val="32"/>
          <w:szCs w:val="32"/>
          <w:highlight w:val="none"/>
          <w:u w:val="single"/>
          <w:lang w:val="en-US" w:eastAsia="zh-CN"/>
        </w:rPr>
        <w:t>15</w:t>
      </w:r>
      <w:r>
        <w:rPr>
          <w:rFonts w:hint="eastAsia" w:ascii="仿宋_GB2312" w:hAnsi="仿宋_GB2312" w:eastAsia="仿宋_GB2312"/>
          <w:kern w:val="0"/>
          <w:sz w:val="32"/>
          <w:szCs w:val="32"/>
          <w:highlight w:val="none"/>
          <w:u w:val="single"/>
        </w:rPr>
        <w:t>00</w:t>
      </w:r>
      <w:r>
        <w:rPr>
          <w:rFonts w:hint="eastAsia" w:ascii="仿宋_GB2312" w:hAnsi="仿宋_GB2312" w:eastAsia="仿宋_GB2312"/>
          <w:kern w:val="0"/>
          <w:sz w:val="32"/>
          <w:szCs w:val="32"/>
          <w:highlight w:val="none"/>
        </w:rPr>
        <w:t>元/人；获得校级竞赛亚军或季军（如分校区竞赛，为总决赛亚军或季军）或学生所在校区冠军者，奖励</w:t>
      </w:r>
      <w:r>
        <w:rPr>
          <w:rFonts w:hint="eastAsia" w:ascii="仿宋_GB2312" w:hAnsi="仿宋_GB2312" w:eastAsia="仿宋_GB2312"/>
          <w:kern w:val="0"/>
          <w:sz w:val="32"/>
          <w:szCs w:val="32"/>
          <w:highlight w:val="none"/>
          <w:u w:val="single"/>
          <w:lang w:val="en-US" w:eastAsia="zh-CN"/>
        </w:rPr>
        <w:t>1</w:t>
      </w:r>
      <w:r>
        <w:rPr>
          <w:rFonts w:hint="eastAsia" w:ascii="仿宋_GB2312" w:hAnsi="仿宋_GB2312" w:eastAsia="仿宋_GB2312"/>
          <w:kern w:val="0"/>
          <w:sz w:val="32"/>
          <w:szCs w:val="32"/>
          <w:highlight w:val="none"/>
          <w:u w:val="single"/>
        </w:rPr>
        <w:t>000</w:t>
      </w:r>
      <w:r>
        <w:rPr>
          <w:rFonts w:hint="eastAsia" w:ascii="仿宋_GB2312" w:hAnsi="仿宋_GB2312" w:eastAsia="仿宋_GB2312"/>
          <w:kern w:val="0"/>
          <w:sz w:val="32"/>
          <w:szCs w:val="32"/>
          <w:highlight w:val="none"/>
        </w:rPr>
        <w:t>/人 。</w:t>
      </w:r>
    </w:p>
    <w:p w14:paraId="6853AE09">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（二）学生以团体名义报名参加体育活动或体育赛事、文艺活动或文艺竞赛、学术活动或竞赛等，按以下标准发放奖励：</w:t>
      </w:r>
    </w:p>
    <w:p w14:paraId="25831EFE">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奖励主要分为奖励金和团体活动经费，奖励金可直接发至获奖人，获奖人以赛事报名记录、实际参赛记录及官方公布获奖通知为准核实确定；团体活动经费，须用于团体日常活动管理，提升团队吸引力和活力。</w:t>
      </w:r>
    </w:p>
    <w:p w14:paraId="1A442BC6">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1</w:t>
      </w:r>
      <w:r>
        <w:rPr>
          <w:rFonts w:ascii="仿宋_GB2312" w:hAnsi="仿宋_GB2312" w:eastAsia="仿宋_GB2312"/>
          <w:kern w:val="0"/>
          <w:sz w:val="32"/>
          <w:szCs w:val="32"/>
          <w:highlight w:val="none"/>
        </w:rPr>
        <w:t>.</w:t>
      </w:r>
      <w:r>
        <w:rPr>
          <w:rFonts w:hint="eastAsia" w:ascii="仿宋_GB2312" w:hAnsi="仿宋_GB2312" w:eastAsia="仿宋_GB2312"/>
          <w:kern w:val="0"/>
          <w:sz w:val="32"/>
          <w:szCs w:val="32"/>
          <w:highlight w:val="none"/>
        </w:rPr>
        <w:t>获得国家（含国家部委主办的活动）级冠军的团队，奖励</w:t>
      </w:r>
      <w:r>
        <w:rPr>
          <w:rFonts w:ascii="仿宋_GB2312" w:hAnsi="仿宋_GB2312" w:eastAsia="仿宋_GB2312"/>
          <w:kern w:val="0"/>
          <w:sz w:val="32"/>
          <w:szCs w:val="32"/>
          <w:highlight w:val="none"/>
        </w:rPr>
        <w:t>8000</w:t>
      </w:r>
      <w:r>
        <w:rPr>
          <w:rFonts w:hint="eastAsia" w:ascii="仿宋_GB2312" w:hAnsi="仿宋_GB2312" w:eastAsia="仿宋_GB2312"/>
          <w:kern w:val="0"/>
          <w:sz w:val="32"/>
          <w:szCs w:val="32"/>
          <w:highlight w:val="none"/>
        </w:rPr>
        <w:t>元，并奖励</w:t>
      </w:r>
      <w:r>
        <w:rPr>
          <w:rFonts w:hint="eastAsia" w:ascii="仿宋_GB2312" w:hAnsi="仿宋_GB2312" w:eastAsia="仿宋_GB2312"/>
          <w:kern w:val="0"/>
          <w:sz w:val="32"/>
          <w:szCs w:val="32"/>
          <w:highlight w:val="none"/>
          <w:u w:val="single"/>
        </w:rPr>
        <w:t>5000</w:t>
      </w:r>
      <w:r>
        <w:rPr>
          <w:rFonts w:hint="eastAsia" w:ascii="仿宋_GB2312" w:hAnsi="仿宋_GB2312" w:eastAsia="仿宋_GB2312"/>
          <w:kern w:val="0"/>
          <w:sz w:val="32"/>
          <w:szCs w:val="32"/>
          <w:highlight w:val="none"/>
        </w:rPr>
        <w:t>元作为团体活动经费；获得国家（含国家部委主办的活动）级亚军或季军，奖励</w:t>
      </w:r>
      <w:r>
        <w:rPr>
          <w:rFonts w:ascii="仿宋_GB2312" w:hAnsi="仿宋_GB2312" w:eastAsia="仿宋_GB2312"/>
          <w:kern w:val="0"/>
          <w:sz w:val="32"/>
          <w:szCs w:val="32"/>
          <w:highlight w:val="none"/>
        </w:rPr>
        <w:t>7</w:t>
      </w:r>
      <w:r>
        <w:rPr>
          <w:rFonts w:hint="eastAsia" w:ascii="仿宋_GB2312" w:hAnsi="仿宋_GB2312" w:eastAsia="仿宋_GB2312"/>
          <w:kern w:val="0"/>
          <w:sz w:val="32"/>
          <w:szCs w:val="32"/>
          <w:highlight w:val="none"/>
        </w:rPr>
        <w:t>000元，并奖励</w:t>
      </w:r>
      <w:r>
        <w:rPr>
          <w:rFonts w:ascii="仿宋_GB2312" w:hAnsi="仿宋_GB2312" w:eastAsia="仿宋_GB2312"/>
          <w:kern w:val="0"/>
          <w:sz w:val="32"/>
          <w:szCs w:val="32"/>
          <w:highlight w:val="none"/>
          <w:u w:val="single"/>
        </w:rPr>
        <w:t>4</w:t>
      </w:r>
      <w:r>
        <w:rPr>
          <w:rFonts w:hint="eastAsia" w:ascii="仿宋_GB2312" w:hAnsi="仿宋_GB2312" w:eastAsia="仿宋_GB2312"/>
          <w:kern w:val="0"/>
          <w:sz w:val="32"/>
          <w:szCs w:val="32"/>
          <w:highlight w:val="none"/>
          <w:u w:val="single"/>
        </w:rPr>
        <w:t>000</w:t>
      </w:r>
      <w:r>
        <w:rPr>
          <w:rFonts w:hint="eastAsia" w:ascii="仿宋_GB2312" w:hAnsi="仿宋_GB2312" w:eastAsia="仿宋_GB2312"/>
          <w:kern w:val="0"/>
          <w:sz w:val="32"/>
          <w:szCs w:val="32"/>
          <w:highlight w:val="none"/>
        </w:rPr>
        <w:t>元作为团体活动经费.</w:t>
      </w:r>
    </w:p>
    <w:p w14:paraId="52F40A2F">
      <w:pPr>
        <w:widowControl/>
        <w:tabs>
          <w:tab w:val="left" w:pos="752"/>
        </w:tabs>
        <w:spacing w:line="540" w:lineRule="exact"/>
        <w:ind w:firstLine="640" w:firstLineChars="200"/>
        <w:rPr>
          <w:rFonts w:hint="eastAsia" w:ascii="仿宋_GB2312" w:hAnsi="仿宋_GB2312" w:eastAsia="仿宋_GB2312"/>
          <w:kern w:val="0"/>
          <w:sz w:val="32"/>
          <w:szCs w:val="32"/>
          <w:highlight w:val="none"/>
          <w:lang w:eastAsia="zh-CN"/>
        </w:rPr>
      </w:pPr>
      <w:r>
        <w:rPr>
          <w:rFonts w:ascii="仿宋_GB2312" w:hAnsi="仿宋_GB2312" w:eastAsia="仿宋_GB2312"/>
          <w:kern w:val="0"/>
          <w:sz w:val="32"/>
          <w:szCs w:val="32"/>
          <w:highlight w:val="none"/>
        </w:rPr>
        <w:t>2.</w:t>
      </w:r>
      <w:r>
        <w:rPr>
          <w:rFonts w:hint="eastAsia" w:ascii="仿宋_GB2312" w:hAnsi="仿宋_GB2312" w:eastAsia="仿宋_GB2312"/>
          <w:kern w:val="0"/>
          <w:sz w:val="32"/>
          <w:szCs w:val="32"/>
          <w:highlight w:val="none"/>
        </w:rPr>
        <w:t xml:space="preserve"> 获得省</w:t>
      </w:r>
      <w:r>
        <w:rPr>
          <w:rFonts w:hint="eastAsia" w:ascii="仿宋_GB2312" w:hAnsi="仿宋_GB2312" w:eastAsia="仿宋_GB2312"/>
          <w:kern w:val="0"/>
          <w:sz w:val="32"/>
          <w:szCs w:val="32"/>
          <w:highlight w:val="none"/>
          <w:lang w:val="en-US" w:eastAsia="zh-CN"/>
        </w:rPr>
        <w:t>级冠军的团队，奖励5000元，并奖励3000元作为团体活动经费；获得省级亚军或季军的团队，或</w:t>
      </w:r>
      <w:r>
        <w:rPr>
          <w:rFonts w:hint="eastAsia" w:ascii="仿宋_GB2312" w:hAnsi="仿宋_GB2312" w:eastAsia="仿宋_GB2312"/>
          <w:kern w:val="0"/>
          <w:sz w:val="32"/>
          <w:szCs w:val="32"/>
          <w:highlight w:val="none"/>
        </w:rPr>
        <w:t>市级</w:t>
      </w:r>
      <w:r>
        <w:rPr>
          <w:rFonts w:hint="eastAsia" w:ascii="仿宋_GB2312" w:hAnsi="仿宋_GB2312" w:eastAsia="仿宋_GB2312"/>
          <w:kern w:val="0"/>
          <w:sz w:val="32"/>
          <w:szCs w:val="32"/>
          <w:highlight w:val="none"/>
          <w:lang w:val="en-US" w:eastAsia="zh-CN"/>
        </w:rPr>
        <w:t>冠军的团队，奖励4000元，并奖励2000元作为团体活动经费；获得市级亚军或季军，</w:t>
      </w:r>
      <w:r>
        <w:rPr>
          <w:rFonts w:hint="eastAsia" w:ascii="仿宋_GB2312" w:hAnsi="仿宋_GB2312" w:eastAsia="仿宋_GB2312"/>
          <w:kern w:val="0"/>
          <w:sz w:val="32"/>
          <w:szCs w:val="32"/>
          <w:highlight w:val="none"/>
        </w:rPr>
        <w:t>或校级竞赛冠军（如分校区竞赛，为总决赛冠军）的团队，奖励</w:t>
      </w:r>
      <w:r>
        <w:rPr>
          <w:rFonts w:hint="eastAsia" w:ascii="仿宋_GB2312" w:hAnsi="仿宋_GB2312" w:eastAsia="仿宋_GB2312"/>
          <w:kern w:val="0"/>
          <w:sz w:val="32"/>
          <w:szCs w:val="32"/>
          <w:highlight w:val="none"/>
          <w:u w:val="single"/>
          <w:lang w:val="en-US" w:eastAsia="zh-CN"/>
        </w:rPr>
        <w:t>3</w:t>
      </w:r>
      <w:r>
        <w:rPr>
          <w:rFonts w:ascii="仿宋_GB2312" w:hAnsi="仿宋_GB2312" w:eastAsia="仿宋_GB2312"/>
          <w:kern w:val="0"/>
          <w:sz w:val="32"/>
          <w:szCs w:val="32"/>
          <w:highlight w:val="none"/>
          <w:u w:val="single"/>
        </w:rPr>
        <w:t>000</w:t>
      </w:r>
      <w:r>
        <w:rPr>
          <w:rFonts w:hint="eastAsia" w:ascii="仿宋_GB2312" w:hAnsi="仿宋_GB2312" w:eastAsia="仿宋_GB2312"/>
          <w:kern w:val="0"/>
          <w:sz w:val="32"/>
          <w:szCs w:val="32"/>
          <w:highlight w:val="none"/>
          <w:u w:val="single"/>
        </w:rPr>
        <w:t>元</w:t>
      </w:r>
      <w:r>
        <w:rPr>
          <w:rFonts w:hint="eastAsia" w:ascii="仿宋_GB2312" w:hAnsi="仿宋_GB2312" w:eastAsia="仿宋_GB2312"/>
          <w:kern w:val="0"/>
          <w:sz w:val="32"/>
          <w:szCs w:val="32"/>
          <w:highlight w:val="none"/>
        </w:rPr>
        <w:t>，并奖励</w:t>
      </w:r>
      <w:r>
        <w:rPr>
          <w:rFonts w:hint="eastAsia" w:ascii="仿宋_GB2312" w:hAnsi="仿宋_GB2312" w:eastAsia="仿宋_GB2312"/>
          <w:kern w:val="0"/>
          <w:sz w:val="32"/>
          <w:szCs w:val="32"/>
          <w:highlight w:val="none"/>
          <w:lang w:val="en-US" w:eastAsia="zh-CN"/>
        </w:rPr>
        <w:t>15</w:t>
      </w:r>
      <w:r>
        <w:rPr>
          <w:rFonts w:hint="eastAsia" w:ascii="仿宋_GB2312" w:hAnsi="仿宋_GB2312" w:eastAsia="仿宋_GB2312"/>
          <w:kern w:val="0"/>
          <w:sz w:val="32"/>
          <w:szCs w:val="32"/>
          <w:highlight w:val="none"/>
          <w:u w:val="single"/>
        </w:rPr>
        <w:t>00</w:t>
      </w:r>
      <w:r>
        <w:rPr>
          <w:rFonts w:hint="eastAsia" w:ascii="仿宋_GB2312" w:hAnsi="仿宋_GB2312" w:eastAsia="仿宋_GB2312"/>
          <w:kern w:val="0"/>
          <w:sz w:val="32"/>
          <w:szCs w:val="32"/>
          <w:highlight w:val="none"/>
        </w:rPr>
        <w:t>元作为团体活动经费；获得校级竞赛亚军或季军（如分校区竞赛，为总决赛亚军或季军）或学生所在校区冠军的团队，奖励</w:t>
      </w:r>
      <w:r>
        <w:rPr>
          <w:rFonts w:hint="eastAsia" w:ascii="仿宋_GB2312" w:hAnsi="仿宋_GB2312" w:eastAsia="仿宋_GB2312"/>
          <w:kern w:val="0"/>
          <w:sz w:val="32"/>
          <w:szCs w:val="32"/>
          <w:highlight w:val="none"/>
          <w:u w:val="single"/>
          <w:lang w:val="en-US" w:eastAsia="zh-CN"/>
        </w:rPr>
        <w:t>25</w:t>
      </w:r>
      <w:r>
        <w:rPr>
          <w:rFonts w:ascii="仿宋_GB2312" w:hAnsi="仿宋_GB2312" w:eastAsia="仿宋_GB2312"/>
          <w:kern w:val="0"/>
          <w:sz w:val="32"/>
          <w:szCs w:val="32"/>
          <w:highlight w:val="none"/>
          <w:u w:val="single"/>
        </w:rPr>
        <w:t>00</w:t>
      </w:r>
      <w:r>
        <w:rPr>
          <w:rFonts w:hint="eastAsia" w:ascii="仿宋_GB2312" w:hAnsi="仿宋_GB2312" w:eastAsia="仿宋_GB2312"/>
          <w:kern w:val="0"/>
          <w:sz w:val="32"/>
          <w:szCs w:val="32"/>
          <w:highlight w:val="none"/>
          <w:u w:val="single"/>
        </w:rPr>
        <w:t>元</w:t>
      </w:r>
      <w:r>
        <w:rPr>
          <w:rFonts w:hint="eastAsia" w:ascii="仿宋_GB2312" w:hAnsi="仿宋_GB2312" w:eastAsia="仿宋_GB2312"/>
          <w:kern w:val="0"/>
          <w:sz w:val="32"/>
          <w:szCs w:val="32"/>
          <w:highlight w:val="none"/>
        </w:rPr>
        <w:t>，并奖励</w:t>
      </w:r>
      <w:r>
        <w:rPr>
          <w:rFonts w:hint="eastAsia" w:ascii="仿宋_GB2312" w:hAnsi="仿宋_GB2312" w:eastAsia="仿宋_GB2312"/>
          <w:kern w:val="0"/>
          <w:sz w:val="32"/>
          <w:szCs w:val="32"/>
          <w:highlight w:val="none"/>
          <w:u w:val="single"/>
          <w:lang w:val="en-US" w:eastAsia="zh-CN"/>
        </w:rPr>
        <w:t>1</w:t>
      </w:r>
      <w:r>
        <w:rPr>
          <w:rFonts w:hint="eastAsia" w:ascii="仿宋_GB2312" w:hAnsi="仿宋_GB2312" w:eastAsia="仿宋_GB2312"/>
          <w:kern w:val="0"/>
          <w:sz w:val="32"/>
          <w:szCs w:val="32"/>
          <w:highlight w:val="none"/>
          <w:u w:val="single"/>
        </w:rPr>
        <w:t>000元</w:t>
      </w:r>
      <w:r>
        <w:rPr>
          <w:rFonts w:hint="eastAsia" w:ascii="仿宋_GB2312" w:hAnsi="仿宋_GB2312" w:eastAsia="仿宋_GB2312"/>
          <w:kern w:val="0"/>
          <w:sz w:val="32"/>
          <w:szCs w:val="32"/>
          <w:highlight w:val="none"/>
        </w:rPr>
        <w:t>作为团体活动经费。</w:t>
      </w:r>
    </w:p>
    <w:p w14:paraId="7EA45F5F">
      <w:pPr>
        <w:widowControl/>
        <w:tabs>
          <w:tab w:val="left" w:pos="752"/>
        </w:tabs>
        <w:spacing w:line="540" w:lineRule="exact"/>
        <w:rPr>
          <w:rFonts w:ascii="仿宋_GB2312" w:hAnsi="仿宋_GB2312" w:eastAsia="仿宋_GB2312"/>
          <w:kern w:val="0"/>
          <w:sz w:val="32"/>
          <w:szCs w:val="32"/>
          <w:highlight w:val="none"/>
        </w:rPr>
      </w:pPr>
    </w:p>
    <w:p w14:paraId="1CF9E40B">
      <w:pPr>
        <w:widowControl/>
        <w:tabs>
          <w:tab w:val="left" w:pos="752"/>
        </w:tabs>
        <w:spacing w:line="540" w:lineRule="exact"/>
        <w:ind w:firstLine="640" w:firstLineChars="200"/>
        <w:rPr>
          <w:rFonts w:hint="eastAsia"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团队负责人负责团队经费使用和管理，全权负责经费财产安全，保证经费使用合法合规合理。团队负责人签署经费执行承诺书，每年度提交经费执行报告、发票回执等证明材料至学工部。关于年度报告提交的时间和流程由法学院学工部每年度视工作安排发布通知。法学院学工部全程对经费使用行使监督权。</w:t>
      </w:r>
    </w:p>
    <w:p w14:paraId="4F5AD076">
      <w:pPr>
        <w:widowControl/>
        <w:tabs>
          <w:tab w:val="left" w:pos="752"/>
        </w:tabs>
        <w:spacing w:line="540" w:lineRule="exact"/>
        <w:ind w:firstLine="643" w:firstLineChars="200"/>
        <w:rPr>
          <w:rFonts w:ascii="仿宋_GB2312" w:hAnsi="仿宋_GB2312" w:eastAsia="仿宋_GB2312"/>
          <w:b/>
          <w:bCs/>
          <w:kern w:val="0"/>
          <w:sz w:val="32"/>
          <w:szCs w:val="32"/>
          <w:highlight w:val="none"/>
        </w:rPr>
      </w:pPr>
      <w:r>
        <w:rPr>
          <w:rFonts w:hint="eastAsia" w:ascii="仿宋_GB2312" w:hAnsi="仿宋_GB2312" w:eastAsia="仿宋_GB2312"/>
          <w:b/>
          <w:bCs/>
          <w:kern w:val="0"/>
          <w:sz w:val="32"/>
          <w:szCs w:val="32"/>
          <w:highlight w:val="none"/>
        </w:rPr>
        <w:t>三、特别说明</w:t>
      </w:r>
    </w:p>
    <w:p w14:paraId="347BD8B1">
      <w:pPr>
        <w:widowControl/>
        <w:tabs>
          <w:tab w:val="left" w:pos="752"/>
        </w:tabs>
        <w:spacing w:line="540" w:lineRule="exact"/>
        <w:ind w:firstLine="640" w:firstLineChars="200"/>
        <w:rPr>
          <w:rFonts w:hint="eastAsia"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rPr>
        <w:t>该奖励原则上不与法学院其他奖励重复获得，如出现同类型奖励，则奖励金额申请按照就高不就低处理。</w:t>
      </w:r>
      <w:r>
        <w:rPr>
          <w:rFonts w:hint="eastAsia" w:ascii="仿宋_GB2312" w:hAnsi="仿宋_GB2312" w:eastAsia="仿宋_GB2312"/>
          <w:kern w:val="0"/>
          <w:sz w:val="32"/>
          <w:szCs w:val="32"/>
          <w:highlight w:val="none"/>
          <w:u w:val="single"/>
        </w:rPr>
        <w:t>个人</w:t>
      </w:r>
      <w:r>
        <w:rPr>
          <w:rFonts w:hint="eastAsia" w:ascii="仿宋_GB2312" w:hAnsi="仿宋_GB2312" w:eastAsia="仿宋_GB2312"/>
          <w:kern w:val="0"/>
          <w:sz w:val="32"/>
          <w:szCs w:val="32"/>
          <w:highlight w:val="none"/>
          <w:u w:val="single"/>
          <w:lang w:val="en-US" w:eastAsia="zh-CN"/>
        </w:rPr>
        <w:t>在同一类型的比赛或活动中</w:t>
      </w:r>
      <w:r>
        <w:rPr>
          <w:rFonts w:hint="eastAsia" w:ascii="仿宋_GB2312" w:hAnsi="仿宋_GB2312" w:eastAsia="仿宋_GB2312"/>
          <w:kern w:val="0"/>
          <w:sz w:val="32"/>
          <w:szCs w:val="32"/>
          <w:highlight w:val="none"/>
          <w:u w:val="single"/>
        </w:rPr>
        <w:t>既获得个人奖励又获得团体奖励者，按照就高不就低</w:t>
      </w:r>
      <w:r>
        <w:rPr>
          <w:rFonts w:ascii="仿宋_GB2312" w:hAnsi="仿宋_GB2312" w:eastAsia="仿宋_GB2312"/>
          <w:kern w:val="0"/>
          <w:sz w:val="32"/>
          <w:szCs w:val="32"/>
          <w:highlight w:val="none"/>
          <w:u w:val="single"/>
        </w:rPr>
        <w:t>处</w:t>
      </w:r>
      <w:r>
        <w:rPr>
          <w:rFonts w:hint="eastAsia" w:ascii="仿宋_GB2312" w:hAnsi="仿宋_GB2312" w:eastAsia="仿宋_GB2312"/>
          <w:kern w:val="0"/>
          <w:sz w:val="32"/>
          <w:szCs w:val="32"/>
          <w:highlight w:val="none"/>
          <w:u w:val="single"/>
        </w:rPr>
        <w:t>理。</w:t>
      </w:r>
      <w:r>
        <w:rPr>
          <w:rFonts w:hint="eastAsia" w:ascii="仿宋_GB2312" w:hAnsi="仿宋_GB2312" w:eastAsia="仿宋_GB2312"/>
          <w:kern w:val="0"/>
          <w:sz w:val="32"/>
          <w:szCs w:val="32"/>
          <w:highlight w:val="none"/>
        </w:rPr>
        <w:t>法学院其他奖励指同一年度内</w:t>
      </w:r>
      <w:r>
        <w:rPr>
          <w:rFonts w:hint="eastAsia" w:ascii="仿宋_GB2312" w:hAnsi="仿宋_GB2312" w:eastAsia="仿宋_GB2312"/>
          <w:kern w:val="0"/>
          <w:sz w:val="32"/>
          <w:szCs w:val="32"/>
          <w:highlight w:val="none"/>
          <w:lang w:val="en-US" w:eastAsia="zh-CN"/>
        </w:rPr>
        <w:t>获得其他同类型的奖励</w:t>
      </w:r>
      <w:r>
        <w:rPr>
          <w:rFonts w:hint="eastAsia" w:ascii="仿宋_GB2312" w:hAnsi="仿宋_GB2312" w:eastAsia="仿宋_GB2312"/>
          <w:kern w:val="0"/>
          <w:sz w:val="32"/>
          <w:szCs w:val="32"/>
          <w:highlight w:val="none"/>
        </w:rPr>
        <w:t>，奖励金额按就高不就低处理，可兼得荣誉。</w:t>
      </w:r>
    </w:p>
    <w:p w14:paraId="027CD484">
      <w:pPr>
        <w:widowControl/>
        <w:tabs>
          <w:tab w:val="left" w:pos="752"/>
        </w:tabs>
        <w:spacing w:line="540" w:lineRule="exact"/>
        <w:ind w:firstLine="640" w:firstLineChars="200"/>
        <w:rPr>
          <w:rFonts w:hint="eastAsia" w:ascii="仿宋_GB2312" w:hAnsi="仿宋_GB2312" w:eastAsiaTheme="minorEastAsia"/>
          <w:kern w:val="0"/>
          <w:sz w:val="32"/>
          <w:szCs w:val="32"/>
          <w:highlight w:val="none"/>
          <w:lang w:val="en-US" w:eastAsia="zh-CN"/>
        </w:rPr>
      </w:pPr>
      <w:r>
        <w:rPr>
          <w:rFonts w:hint="eastAsia" w:ascii="仿宋_GB2312" w:hAnsi="仿宋_GB2312" w:eastAsia="仿宋_GB2312"/>
          <w:kern w:val="0"/>
          <w:sz w:val="32"/>
          <w:szCs w:val="32"/>
          <w:highlight w:val="none"/>
          <w:u w:val="single"/>
          <w:lang w:val="en-US" w:eastAsia="zh-CN"/>
        </w:rPr>
        <w:t>学术</w:t>
      </w:r>
      <w:r>
        <w:rPr>
          <w:rFonts w:hint="eastAsia" w:ascii="仿宋_GB2312" w:hAnsi="仿宋_GB2312" w:eastAsia="仿宋_GB2312"/>
          <w:kern w:val="0"/>
          <w:sz w:val="32"/>
          <w:szCs w:val="32"/>
          <w:highlight w:val="none"/>
          <w:u w:val="single"/>
          <w:lang w:val="en-US" w:eastAsia="zh-CN"/>
        </w:rPr>
        <w:t>竞赛特指法学实验中心负责的各项比赛、“挑战杯”全国大学生课外学术科技作品竞赛和中国大学生创业计划竞赛、中国国际大学生创新大赛、全国学生“学宪法 讲宪法”活动。</w:t>
      </w:r>
    </w:p>
    <w:p w14:paraId="6212612C">
      <w:pPr>
        <w:widowControl/>
        <w:tabs>
          <w:tab w:val="left" w:pos="752"/>
        </w:tabs>
        <w:spacing w:line="540" w:lineRule="exact"/>
        <w:ind w:firstLine="643" w:firstLineChars="200"/>
        <w:rPr>
          <w:rFonts w:ascii="仿宋_GB2312" w:hAnsi="仿宋_GB2312" w:eastAsia="仿宋_GB2312"/>
          <w:b/>
          <w:bCs/>
          <w:kern w:val="0"/>
          <w:sz w:val="32"/>
          <w:szCs w:val="32"/>
          <w:highlight w:val="none"/>
        </w:rPr>
      </w:pPr>
      <w:r>
        <w:rPr>
          <w:rFonts w:hint="eastAsia" w:ascii="仿宋_GB2312" w:hAnsi="仿宋_GB2312" w:eastAsia="仿宋_GB2312"/>
          <w:b/>
          <w:bCs/>
          <w:kern w:val="0"/>
          <w:sz w:val="32"/>
          <w:szCs w:val="32"/>
          <w:highlight w:val="none"/>
        </w:rPr>
        <w:t>四、评审委员会的组成与评审规则</w:t>
      </w:r>
    </w:p>
    <w:p w14:paraId="23296DC4">
      <w:pPr>
        <w:widowControl/>
        <w:tabs>
          <w:tab w:val="left" w:pos="752"/>
        </w:tabs>
        <w:spacing w:line="540" w:lineRule="exact"/>
        <w:ind w:firstLine="640" w:firstLineChars="200"/>
        <w:rPr>
          <w:rFonts w:ascii="仿宋_GB2312" w:hAnsi="仿宋_GB2312" w:eastAsia="仿宋_GB2312"/>
          <w:kern w:val="0"/>
          <w:sz w:val="32"/>
          <w:szCs w:val="32"/>
          <w:highlight w:val="none"/>
        </w:rPr>
      </w:pPr>
      <w:r>
        <w:rPr>
          <w:rFonts w:hint="eastAsia" w:ascii="仿宋_GB2312" w:hAnsi="仿宋_GB2312" w:eastAsia="仿宋_GB2312"/>
          <w:kern w:val="0"/>
          <w:sz w:val="32"/>
          <w:szCs w:val="32"/>
          <w:highlight w:val="none"/>
          <w:u w:val="single"/>
        </w:rPr>
        <w:t>“林祥平法学基金评审委员会”成员共</w:t>
      </w:r>
      <w:r>
        <w:rPr>
          <w:rFonts w:hint="eastAsia" w:ascii="仿宋_GB2312" w:hAnsi="仿宋_GB2312" w:eastAsia="仿宋_GB2312"/>
          <w:kern w:val="0"/>
          <w:sz w:val="32"/>
          <w:szCs w:val="32"/>
          <w:highlight w:val="none"/>
          <w:u w:val="single"/>
          <w:lang w:val="en-US" w:eastAsia="zh-CN"/>
        </w:rPr>
        <w:t>7</w:t>
      </w:r>
      <w:r>
        <w:rPr>
          <w:rFonts w:hint="eastAsia" w:ascii="仿宋_GB2312" w:hAnsi="仿宋_GB2312" w:eastAsia="仿宋_GB2312"/>
          <w:kern w:val="0"/>
          <w:sz w:val="32"/>
          <w:szCs w:val="32"/>
          <w:highlight w:val="none"/>
          <w:u w:val="single"/>
        </w:rPr>
        <w:t>人，由法学院党委副书记、辅导员、专业教师</w:t>
      </w:r>
      <w:r>
        <w:rPr>
          <w:rFonts w:hint="eastAsia" w:ascii="仿宋_GB2312" w:hAnsi="仿宋_GB2312" w:eastAsia="仿宋_GB2312"/>
          <w:kern w:val="0"/>
          <w:sz w:val="32"/>
          <w:szCs w:val="32"/>
          <w:highlight w:val="none"/>
          <w:u w:val="single"/>
          <w:lang w:val="en-US" w:eastAsia="zh-CN"/>
        </w:rPr>
        <w:t>代表、学生代表</w:t>
      </w:r>
      <w:r>
        <w:rPr>
          <w:rFonts w:hint="eastAsia" w:ascii="仿宋_GB2312" w:hAnsi="仿宋_GB2312" w:eastAsia="仿宋_GB2312"/>
          <w:kern w:val="0"/>
          <w:sz w:val="32"/>
          <w:szCs w:val="32"/>
          <w:highlight w:val="none"/>
          <w:u w:val="single"/>
        </w:rPr>
        <w:t>等组成</w:t>
      </w:r>
      <w:r>
        <w:rPr>
          <w:rFonts w:hint="eastAsia" w:ascii="仿宋_GB2312" w:hAnsi="仿宋_GB2312" w:eastAsia="仿宋_GB2312"/>
          <w:kern w:val="0"/>
          <w:sz w:val="32"/>
          <w:szCs w:val="32"/>
          <w:highlight w:val="none"/>
        </w:rPr>
        <w:t>，评审委员会委员达三分</w:t>
      </w:r>
      <w:bookmarkStart w:id="0" w:name="_GoBack"/>
      <w:bookmarkEnd w:id="0"/>
      <w:r>
        <w:rPr>
          <w:rFonts w:hint="eastAsia" w:ascii="仿宋_GB2312" w:hAnsi="仿宋_GB2312" w:eastAsia="仿宋_GB2312"/>
          <w:kern w:val="0"/>
          <w:sz w:val="32"/>
          <w:szCs w:val="32"/>
          <w:highlight w:val="none"/>
        </w:rPr>
        <w:t>之二以上出席评审活动即可开会，获得出席会议委员二分之一以上同意则通过。</w:t>
      </w:r>
    </w:p>
    <w:p w14:paraId="3AB33180">
      <w:pPr>
        <w:widowControl/>
        <w:tabs>
          <w:tab w:val="left" w:pos="752"/>
        </w:tabs>
        <w:spacing w:line="540" w:lineRule="exact"/>
        <w:ind w:firstLine="640" w:firstLineChars="200"/>
        <w:rPr>
          <w:rFonts w:ascii="仿宋_GB2312" w:hAnsi="仿宋_GB2312" w:eastAsia="仿宋_GB2312"/>
          <w:kern w:val="0"/>
          <w:sz w:val="32"/>
          <w:szCs w:val="32"/>
        </w:rPr>
      </w:pPr>
    </w:p>
    <w:p w14:paraId="0F35318C">
      <w:pPr>
        <w:widowControl/>
        <w:tabs>
          <w:tab w:val="left" w:pos="752"/>
        </w:tabs>
        <w:spacing w:line="540" w:lineRule="exact"/>
        <w:jc w:val="right"/>
        <w:rPr>
          <w:rFonts w:ascii="仿宋_GB2312" w:hAnsi="仿宋_GB2312" w:eastAsia="仿宋_GB2312"/>
          <w:kern w:val="0"/>
          <w:sz w:val="32"/>
          <w:szCs w:val="32"/>
        </w:rPr>
      </w:pPr>
      <w:r>
        <w:rPr>
          <w:rFonts w:hint="eastAsia" w:ascii="仿宋_GB2312" w:hAnsi="仿宋_GB2312" w:eastAsia="仿宋_GB2312"/>
          <w:kern w:val="0"/>
          <w:sz w:val="32"/>
          <w:szCs w:val="32"/>
        </w:rPr>
        <w:t>中山大学法学院</w:t>
      </w:r>
    </w:p>
    <w:p w14:paraId="07FC0D9C">
      <w:pPr>
        <w:widowControl/>
        <w:tabs>
          <w:tab w:val="left" w:pos="752"/>
        </w:tabs>
        <w:spacing w:line="540" w:lineRule="exact"/>
        <w:jc w:val="right"/>
        <w:rPr>
          <w:rFonts w:ascii="仿宋_GB2312" w:hAnsi="仿宋_GB2312" w:eastAsia="仿宋_GB2312"/>
          <w:kern w:val="0"/>
          <w:sz w:val="32"/>
          <w:szCs w:val="32"/>
        </w:rPr>
      </w:pPr>
      <w:r>
        <w:rPr>
          <w:rFonts w:hint="eastAsia" w:ascii="仿宋_GB2312" w:hAnsi="仿宋_GB2312" w:eastAsia="仿宋_GB2312"/>
          <w:kern w:val="0"/>
          <w:sz w:val="32"/>
          <w:szCs w:val="32"/>
        </w:rPr>
        <w:t xml:space="preserve">                                    </w:t>
      </w:r>
    </w:p>
    <w:p w14:paraId="06D11FCF">
      <w:pPr>
        <w:widowControl/>
        <w:tabs>
          <w:tab w:val="left" w:pos="752"/>
        </w:tabs>
        <w:spacing w:line="540" w:lineRule="exact"/>
        <w:jc w:val="right"/>
      </w:pPr>
    </w:p>
    <w:p w14:paraId="4723A07C">
      <w:pPr>
        <w:widowControl/>
        <w:tabs>
          <w:tab w:val="left" w:pos="752"/>
        </w:tabs>
        <w:spacing w:line="540" w:lineRule="exact"/>
        <w:jc w:val="righ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2524478"/>
    </w:sdtPr>
    <w:sdtContent>
      <w:p w14:paraId="6C685966">
        <w:pPr>
          <w:pStyle w:val="6"/>
          <w:jc w:val="center"/>
        </w:pPr>
        <w:r>
          <w:fldChar w:fldCharType="begin"/>
        </w:r>
        <w:r>
          <w:instrText xml:space="preserve">PAGE   \* MERGEFORMAT</w:instrText>
        </w:r>
        <w:r>
          <w:fldChar w:fldCharType="separate"/>
        </w:r>
        <w:r>
          <w:rPr>
            <w:lang w:val="zh-CN"/>
          </w:rPr>
          <w:t>2</w:t>
        </w:r>
        <w:r>
          <w:fldChar w:fldCharType="end"/>
        </w:r>
      </w:p>
    </w:sdtContent>
  </w:sdt>
  <w:p w14:paraId="4918D375">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CF6CDD"/>
    <w:rsid w:val="0005688A"/>
    <w:rsid w:val="001E0A09"/>
    <w:rsid w:val="00396827"/>
    <w:rsid w:val="006B18A7"/>
    <w:rsid w:val="006D608D"/>
    <w:rsid w:val="007D23DF"/>
    <w:rsid w:val="00A64CB8"/>
    <w:rsid w:val="00AE7F87"/>
    <w:rsid w:val="00C42A71"/>
    <w:rsid w:val="00E81F9A"/>
    <w:rsid w:val="00ED07D5"/>
    <w:rsid w:val="027A149C"/>
    <w:rsid w:val="02A9126A"/>
    <w:rsid w:val="0F0245F5"/>
    <w:rsid w:val="103E560B"/>
    <w:rsid w:val="15366582"/>
    <w:rsid w:val="22351CF8"/>
    <w:rsid w:val="312E7CA7"/>
    <w:rsid w:val="37500442"/>
    <w:rsid w:val="38CB50BB"/>
    <w:rsid w:val="49075601"/>
    <w:rsid w:val="4C233E0A"/>
    <w:rsid w:val="506D7517"/>
    <w:rsid w:val="56AC391A"/>
    <w:rsid w:val="616474CA"/>
    <w:rsid w:val="648A0240"/>
    <w:rsid w:val="66D734E4"/>
    <w:rsid w:val="67EB0453"/>
    <w:rsid w:val="68CF6CDD"/>
    <w:rsid w:val="7C544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8"/>
    <w:pPr>
      <w:keepNext/>
      <w:keepLines/>
      <w:widowControl/>
      <w:outlineLvl w:val="1"/>
    </w:pPr>
    <w:rPr>
      <w:rFonts w:ascii="Arial" w:hAnsi="Arial" w:eastAsia="黑体"/>
      <w:b/>
      <w:sz w:val="32"/>
      <w:szCs w:val="32"/>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annotation text"/>
    <w:basedOn w:val="1"/>
    <w:uiPriority w:val="0"/>
    <w:pPr>
      <w:jc w:val="left"/>
    </w:pPr>
  </w:style>
  <w:style w:type="paragraph" w:styleId="5">
    <w:name w:val="Balloon Text"/>
    <w:basedOn w:val="1"/>
    <w:link w:val="12"/>
    <w:qFormat/>
    <w:uiPriority w:val="0"/>
    <w:rPr>
      <w:sz w:val="18"/>
      <w:szCs w:val="18"/>
    </w:rPr>
  </w:style>
  <w:style w:type="paragraph" w:styleId="6">
    <w:name w:val="footer"/>
    <w:basedOn w:val="1"/>
    <w:link w:val="11"/>
    <w:qFormat/>
    <w:uiPriority w:val="99"/>
    <w:pPr>
      <w:tabs>
        <w:tab w:val="center" w:pos="4153"/>
        <w:tab w:val="right" w:pos="8306"/>
      </w:tabs>
      <w:snapToGrid w:val="0"/>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qFormat/>
    <w:uiPriority w:val="0"/>
    <w:rPr>
      <w:kern w:val="2"/>
      <w:sz w:val="18"/>
      <w:szCs w:val="18"/>
    </w:rPr>
  </w:style>
  <w:style w:type="character" w:customStyle="1" w:styleId="11">
    <w:name w:val="页脚 字符"/>
    <w:basedOn w:val="9"/>
    <w:link w:val="6"/>
    <w:qFormat/>
    <w:uiPriority w:val="99"/>
    <w:rPr>
      <w:kern w:val="2"/>
      <w:sz w:val="18"/>
      <w:szCs w:val="18"/>
    </w:rPr>
  </w:style>
  <w:style w:type="character" w:customStyle="1" w:styleId="12">
    <w:name w:val="批注框文本 字符"/>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1951</Words>
  <Characters>2034</Characters>
  <Lines>9</Lines>
  <Paragraphs>2</Paragraphs>
  <TotalTime>1</TotalTime>
  <ScaleCrop>false</ScaleCrop>
  <LinksUpToDate>false</LinksUpToDate>
  <CharactersWithSpaces>2074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2022-03-11T11:52:00Z</dcterms:created>
  <dc:creator>林洁红</dc:creator>
  <cp:lastModifiedBy>TiNG</cp:lastModifiedBy>
  <cp:lastPrinted>2025-04-21T09:19:00Z</cp:lastPrinted>
  <dcterms:modified xsi:type="dcterms:W3CDTF">2026-03-12T07:21:19Z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3EB73188936F48D5A51B0CC601B09919_13</vt:lpwstr>
  </property>
  <property fmtid="{D5CDD505-2E9C-101B-9397-08002B2CF9AE}" pid="4" name="KSOTemplateDocerSaveRecord">
    <vt:lpwstr>eyJoZGlkIjoiNzU4MTIxNzJmNTY0MzQzNjE3ZjhkZDBlZGZjOGJjYjQiLCJ1c2VySWQiOiI1MDMzOTI2MzkifQ==</vt:lpwstr>
  </property>
</Properties>
</file>